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FD" w:rsidRPr="00721BFD" w:rsidRDefault="00721BFD" w:rsidP="00721BFD">
      <w:pPr>
        <w:pBdr>
          <w:top w:val="single" w:sz="4" w:space="2" w:color="DDDDDD"/>
          <w:left w:val="single" w:sz="4" w:space="0" w:color="DDDDDD"/>
          <w:bottom w:val="single" w:sz="4" w:space="2" w:color="DDDDDD"/>
          <w:right w:val="single" w:sz="4" w:space="0" w:color="DDDDDD"/>
        </w:pBdr>
        <w:shd w:val="clear" w:color="auto" w:fill="123A63"/>
        <w:spacing w:after="0" w:line="240" w:lineRule="auto"/>
        <w:jc w:val="center"/>
        <w:outlineLvl w:val="1"/>
        <w:rPr>
          <w:rFonts w:ascii="Verdana" w:eastAsia="Times New Roman" w:hAnsi="Verdana" w:cs="Times New Roman"/>
          <w:color w:val="FFFFFF"/>
          <w:sz w:val="41"/>
          <w:szCs w:val="41"/>
          <w:lang w:eastAsia="es-ES"/>
        </w:rPr>
      </w:pPr>
      <w:r w:rsidRPr="00721BFD">
        <w:rPr>
          <w:rFonts w:ascii="Verdana" w:eastAsia="Times New Roman" w:hAnsi="Verdana" w:cs="Times New Roman"/>
          <w:color w:val="FFFFFF"/>
          <w:sz w:val="41"/>
          <w:szCs w:val="41"/>
          <w:lang w:eastAsia="es-ES"/>
        </w:rPr>
        <w:t>Legislación consolidada</w:t>
      </w:r>
    </w:p>
    <w:p w:rsidR="00721BFD" w:rsidRPr="00721BFD" w:rsidRDefault="00721BFD" w:rsidP="00721BFD">
      <w:pPr>
        <w:pBdr>
          <w:bottom w:val="single" w:sz="4" w:space="12" w:color="AAAAAA"/>
        </w:pBdr>
        <w:shd w:val="clear" w:color="auto" w:fill="F8F8F8"/>
        <w:spacing w:after="120" w:line="240" w:lineRule="auto"/>
        <w:jc w:val="both"/>
        <w:rPr>
          <w:rFonts w:ascii="Verdana" w:eastAsia="Times New Roman" w:hAnsi="Verdana" w:cs="Times New Roman"/>
          <w:color w:val="000000"/>
          <w:sz w:val="23"/>
          <w:szCs w:val="23"/>
          <w:lang w:eastAsia="es-ES"/>
        </w:rPr>
      </w:pPr>
      <w:r w:rsidRPr="00721BFD">
        <w:rPr>
          <w:rFonts w:ascii="Verdana" w:eastAsia="Times New Roman" w:hAnsi="Verdana" w:cs="Times New Roman"/>
          <w:color w:val="000000"/>
          <w:sz w:val="23"/>
          <w:szCs w:val="23"/>
          <w:lang w:eastAsia="es-ES"/>
        </w:rPr>
        <w:t>Ley 37/1992, de 28 de diciembre, del Impuesto sobre el Valor Añadido.</w:t>
      </w:r>
    </w:p>
    <w:tbl>
      <w:tblPr>
        <w:tblW w:w="0" w:type="auto"/>
        <w:tblInd w:w="480" w:type="dxa"/>
        <w:tblCellMar>
          <w:left w:w="0" w:type="dxa"/>
          <w:right w:w="0" w:type="dxa"/>
        </w:tblCellMar>
        <w:tblLook w:val="04A0"/>
      </w:tblPr>
      <w:tblGrid>
        <w:gridCol w:w="1406"/>
        <w:gridCol w:w="2579"/>
      </w:tblGrid>
      <w:tr w:rsidR="00721BFD" w:rsidRPr="00721BFD" w:rsidTr="00721BFD">
        <w:tc>
          <w:tcPr>
            <w:tcW w:w="0" w:type="auto"/>
            <w:tcBorders>
              <w:top w:val="nil"/>
              <w:left w:val="nil"/>
              <w:bottom w:val="nil"/>
              <w:right w:val="nil"/>
            </w:tcBorders>
            <w:tcMar>
              <w:top w:w="36" w:type="dxa"/>
              <w:left w:w="0" w:type="dxa"/>
              <w:bottom w:w="0" w:type="dxa"/>
              <w:right w:w="36" w:type="dxa"/>
            </w:tcMar>
            <w:vAlign w:val="center"/>
            <w:hideMark/>
          </w:tcPr>
          <w:p w:rsidR="00721BFD" w:rsidRPr="00721BFD" w:rsidRDefault="00721BFD" w:rsidP="00721BFD">
            <w:pPr>
              <w:spacing w:before="36" w:after="36" w:line="240" w:lineRule="auto"/>
              <w:jc w:val="right"/>
              <w:rPr>
                <w:rFonts w:ascii="Times New Roman" w:eastAsia="Times New Roman" w:hAnsi="Times New Roman" w:cs="Times New Roman"/>
                <w:b/>
                <w:bCs/>
                <w:color w:val="123A63"/>
                <w:sz w:val="18"/>
                <w:szCs w:val="18"/>
                <w:lang w:eastAsia="es-ES"/>
              </w:rPr>
            </w:pPr>
            <w:r w:rsidRPr="00721BFD">
              <w:rPr>
                <w:rFonts w:ascii="Times New Roman" w:eastAsia="Times New Roman" w:hAnsi="Times New Roman" w:cs="Times New Roman"/>
                <w:b/>
                <w:bCs/>
                <w:color w:val="123A63"/>
                <w:sz w:val="18"/>
                <w:szCs w:val="18"/>
                <w:lang w:eastAsia="es-ES"/>
              </w:rPr>
              <w:t>Publicado en:</w:t>
            </w:r>
          </w:p>
        </w:tc>
        <w:tc>
          <w:tcPr>
            <w:tcW w:w="0" w:type="auto"/>
            <w:tcBorders>
              <w:top w:val="nil"/>
              <w:left w:val="nil"/>
              <w:bottom w:val="nil"/>
              <w:right w:val="nil"/>
            </w:tcBorders>
            <w:tcMar>
              <w:top w:w="36" w:type="dxa"/>
              <w:left w:w="72" w:type="dxa"/>
              <w:bottom w:w="0" w:type="dxa"/>
              <w:right w:w="72" w:type="dxa"/>
            </w:tcMar>
            <w:vAlign w:val="center"/>
            <w:hideMark/>
          </w:tcPr>
          <w:p w:rsidR="00721BFD" w:rsidRPr="00721BFD" w:rsidRDefault="00721BFD" w:rsidP="00721BFD">
            <w:pPr>
              <w:spacing w:before="36" w:after="36" w:line="240" w:lineRule="auto"/>
              <w:rPr>
                <w:rFonts w:ascii="Times New Roman" w:eastAsia="Times New Roman" w:hAnsi="Times New Roman" w:cs="Times New Roman"/>
                <w:sz w:val="18"/>
                <w:szCs w:val="18"/>
                <w:lang w:eastAsia="es-ES"/>
              </w:rPr>
            </w:pPr>
            <w:r w:rsidRPr="00721BFD">
              <w:rPr>
                <w:rFonts w:ascii="Times New Roman" w:eastAsia="Times New Roman" w:hAnsi="Times New Roman" w:cs="Times New Roman"/>
                <w:sz w:val="18"/>
                <w:szCs w:val="18"/>
                <w:lang w:eastAsia="es-ES"/>
              </w:rPr>
              <w:t>«BOE» núm. 312, de 29/12/1992.</w:t>
            </w:r>
          </w:p>
        </w:tc>
      </w:tr>
      <w:tr w:rsidR="00721BFD" w:rsidRPr="00721BFD" w:rsidTr="00721BFD">
        <w:tc>
          <w:tcPr>
            <w:tcW w:w="0" w:type="auto"/>
            <w:tcBorders>
              <w:top w:val="nil"/>
              <w:left w:val="nil"/>
              <w:bottom w:val="nil"/>
              <w:right w:val="nil"/>
            </w:tcBorders>
            <w:tcMar>
              <w:top w:w="36" w:type="dxa"/>
              <w:left w:w="0" w:type="dxa"/>
              <w:bottom w:w="0" w:type="dxa"/>
              <w:right w:w="36" w:type="dxa"/>
            </w:tcMar>
            <w:vAlign w:val="center"/>
            <w:hideMark/>
          </w:tcPr>
          <w:p w:rsidR="00721BFD" w:rsidRPr="00721BFD" w:rsidRDefault="00721BFD" w:rsidP="00721BFD">
            <w:pPr>
              <w:spacing w:before="36" w:after="36" w:line="240" w:lineRule="auto"/>
              <w:jc w:val="right"/>
              <w:rPr>
                <w:rFonts w:ascii="Times New Roman" w:eastAsia="Times New Roman" w:hAnsi="Times New Roman" w:cs="Times New Roman"/>
                <w:b/>
                <w:bCs/>
                <w:color w:val="123A63"/>
                <w:sz w:val="18"/>
                <w:szCs w:val="18"/>
                <w:lang w:eastAsia="es-ES"/>
              </w:rPr>
            </w:pPr>
            <w:r w:rsidRPr="00721BFD">
              <w:rPr>
                <w:rFonts w:ascii="Times New Roman" w:eastAsia="Times New Roman" w:hAnsi="Times New Roman" w:cs="Times New Roman"/>
                <w:b/>
                <w:bCs/>
                <w:color w:val="123A63"/>
                <w:sz w:val="18"/>
                <w:szCs w:val="18"/>
                <w:lang w:eastAsia="es-ES"/>
              </w:rPr>
              <w:t>Entrada en vigor:</w:t>
            </w:r>
          </w:p>
        </w:tc>
        <w:tc>
          <w:tcPr>
            <w:tcW w:w="0" w:type="auto"/>
            <w:tcBorders>
              <w:top w:val="nil"/>
              <w:left w:val="nil"/>
              <w:bottom w:val="nil"/>
              <w:right w:val="nil"/>
            </w:tcBorders>
            <w:tcMar>
              <w:top w:w="36" w:type="dxa"/>
              <w:left w:w="72" w:type="dxa"/>
              <w:bottom w:w="0" w:type="dxa"/>
              <w:right w:w="72" w:type="dxa"/>
            </w:tcMar>
            <w:vAlign w:val="center"/>
            <w:hideMark/>
          </w:tcPr>
          <w:p w:rsidR="00721BFD" w:rsidRPr="00721BFD" w:rsidRDefault="00721BFD" w:rsidP="00721BFD">
            <w:pPr>
              <w:spacing w:before="36" w:after="36" w:line="240" w:lineRule="auto"/>
              <w:rPr>
                <w:rFonts w:ascii="Times New Roman" w:eastAsia="Times New Roman" w:hAnsi="Times New Roman" w:cs="Times New Roman"/>
                <w:sz w:val="18"/>
                <w:szCs w:val="18"/>
                <w:lang w:eastAsia="es-ES"/>
              </w:rPr>
            </w:pPr>
            <w:r w:rsidRPr="00721BFD">
              <w:rPr>
                <w:rFonts w:ascii="Times New Roman" w:eastAsia="Times New Roman" w:hAnsi="Times New Roman" w:cs="Times New Roman"/>
                <w:sz w:val="18"/>
                <w:szCs w:val="18"/>
                <w:lang w:eastAsia="es-ES"/>
              </w:rPr>
              <w:t>01/01/1993</w:t>
            </w:r>
          </w:p>
        </w:tc>
      </w:tr>
      <w:tr w:rsidR="00721BFD" w:rsidRPr="00721BFD" w:rsidTr="00721BFD">
        <w:tc>
          <w:tcPr>
            <w:tcW w:w="0" w:type="auto"/>
            <w:tcBorders>
              <w:top w:val="nil"/>
              <w:left w:val="nil"/>
              <w:bottom w:val="nil"/>
              <w:right w:val="nil"/>
            </w:tcBorders>
            <w:tcMar>
              <w:top w:w="36" w:type="dxa"/>
              <w:left w:w="0" w:type="dxa"/>
              <w:bottom w:w="0" w:type="dxa"/>
              <w:right w:w="36" w:type="dxa"/>
            </w:tcMar>
            <w:vAlign w:val="center"/>
            <w:hideMark/>
          </w:tcPr>
          <w:p w:rsidR="00721BFD" w:rsidRPr="00721BFD" w:rsidRDefault="00721BFD" w:rsidP="00721BFD">
            <w:pPr>
              <w:spacing w:before="36" w:after="36" w:line="240" w:lineRule="auto"/>
              <w:jc w:val="right"/>
              <w:rPr>
                <w:rFonts w:ascii="Times New Roman" w:eastAsia="Times New Roman" w:hAnsi="Times New Roman" w:cs="Times New Roman"/>
                <w:b/>
                <w:bCs/>
                <w:color w:val="123A63"/>
                <w:sz w:val="18"/>
                <w:szCs w:val="18"/>
                <w:lang w:eastAsia="es-ES"/>
              </w:rPr>
            </w:pPr>
            <w:r w:rsidRPr="00721BFD">
              <w:rPr>
                <w:rFonts w:ascii="Times New Roman" w:eastAsia="Times New Roman" w:hAnsi="Times New Roman" w:cs="Times New Roman"/>
                <w:b/>
                <w:bCs/>
                <w:color w:val="123A63"/>
                <w:sz w:val="18"/>
                <w:szCs w:val="18"/>
                <w:lang w:eastAsia="es-ES"/>
              </w:rPr>
              <w:t>Departamento:</w:t>
            </w:r>
          </w:p>
        </w:tc>
        <w:tc>
          <w:tcPr>
            <w:tcW w:w="0" w:type="auto"/>
            <w:tcBorders>
              <w:top w:val="nil"/>
              <w:left w:val="nil"/>
              <w:bottom w:val="nil"/>
              <w:right w:val="nil"/>
            </w:tcBorders>
            <w:tcMar>
              <w:top w:w="36" w:type="dxa"/>
              <w:left w:w="72" w:type="dxa"/>
              <w:bottom w:w="0" w:type="dxa"/>
              <w:right w:w="72" w:type="dxa"/>
            </w:tcMar>
            <w:vAlign w:val="center"/>
            <w:hideMark/>
          </w:tcPr>
          <w:p w:rsidR="00721BFD" w:rsidRPr="00721BFD" w:rsidRDefault="00721BFD" w:rsidP="00721BFD">
            <w:pPr>
              <w:spacing w:before="36" w:after="36" w:line="240" w:lineRule="auto"/>
              <w:rPr>
                <w:rFonts w:ascii="Times New Roman" w:eastAsia="Times New Roman" w:hAnsi="Times New Roman" w:cs="Times New Roman"/>
                <w:sz w:val="18"/>
                <w:szCs w:val="18"/>
                <w:lang w:eastAsia="es-ES"/>
              </w:rPr>
            </w:pPr>
            <w:r w:rsidRPr="00721BFD">
              <w:rPr>
                <w:rFonts w:ascii="Times New Roman" w:eastAsia="Times New Roman" w:hAnsi="Times New Roman" w:cs="Times New Roman"/>
                <w:sz w:val="18"/>
                <w:szCs w:val="18"/>
                <w:lang w:eastAsia="es-ES"/>
              </w:rPr>
              <w:t>Jefatura del Estado</w:t>
            </w:r>
          </w:p>
        </w:tc>
      </w:tr>
      <w:tr w:rsidR="00721BFD" w:rsidRPr="00721BFD" w:rsidTr="00721BFD">
        <w:tc>
          <w:tcPr>
            <w:tcW w:w="0" w:type="auto"/>
            <w:tcBorders>
              <w:top w:val="nil"/>
              <w:left w:val="nil"/>
              <w:bottom w:val="nil"/>
              <w:right w:val="nil"/>
            </w:tcBorders>
            <w:tcMar>
              <w:top w:w="36" w:type="dxa"/>
              <w:left w:w="0" w:type="dxa"/>
              <w:bottom w:w="0" w:type="dxa"/>
              <w:right w:w="36" w:type="dxa"/>
            </w:tcMar>
            <w:vAlign w:val="center"/>
            <w:hideMark/>
          </w:tcPr>
          <w:p w:rsidR="00721BFD" w:rsidRPr="00721BFD" w:rsidRDefault="00721BFD" w:rsidP="00721BFD">
            <w:pPr>
              <w:spacing w:before="36" w:after="36" w:line="240" w:lineRule="auto"/>
              <w:jc w:val="right"/>
              <w:rPr>
                <w:rFonts w:ascii="Times New Roman" w:eastAsia="Times New Roman" w:hAnsi="Times New Roman" w:cs="Times New Roman"/>
                <w:b/>
                <w:bCs/>
                <w:color w:val="123A63"/>
                <w:sz w:val="18"/>
                <w:szCs w:val="18"/>
                <w:lang w:eastAsia="es-ES"/>
              </w:rPr>
            </w:pPr>
            <w:r w:rsidRPr="00721BFD">
              <w:rPr>
                <w:rFonts w:ascii="Times New Roman" w:eastAsia="Times New Roman" w:hAnsi="Times New Roman" w:cs="Times New Roman"/>
                <w:b/>
                <w:bCs/>
                <w:color w:val="123A63"/>
                <w:sz w:val="18"/>
                <w:szCs w:val="18"/>
                <w:lang w:eastAsia="es-ES"/>
              </w:rPr>
              <w:t>Referencia:</w:t>
            </w:r>
          </w:p>
        </w:tc>
        <w:tc>
          <w:tcPr>
            <w:tcW w:w="0" w:type="auto"/>
            <w:tcBorders>
              <w:top w:val="nil"/>
              <w:left w:val="nil"/>
              <w:bottom w:val="nil"/>
              <w:right w:val="nil"/>
            </w:tcBorders>
            <w:tcMar>
              <w:top w:w="36" w:type="dxa"/>
              <w:left w:w="72" w:type="dxa"/>
              <w:bottom w:w="0" w:type="dxa"/>
              <w:right w:w="72" w:type="dxa"/>
            </w:tcMar>
            <w:vAlign w:val="center"/>
            <w:hideMark/>
          </w:tcPr>
          <w:p w:rsidR="00721BFD" w:rsidRPr="00721BFD" w:rsidRDefault="00832465" w:rsidP="00721BFD">
            <w:pPr>
              <w:spacing w:before="36" w:after="36" w:line="240" w:lineRule="auto"/>
              <w:rPr>
                <w:rFonts w:ascii="Times New Roman" w:eastAsia="Times New Roman" w:hAnsi="Times New Roman" w:cs="Times New Roman"/>
                <w:sz w:val="18"/>
                <w:szCs w:val="18"/>
                <w:lang w:eastAsia="es-ES"/>
              </w:rPr>
            </w:pPr>
            <w:hyperlink r:id="rId4" w:tgtFrame="_blank" w:history="1">
              <w:r w:rsidR="00721BFD" w:rsidRPr="00721BFD">
                <w:rPr>
                  <w:rFonts w:ascii="Times New Roman" w:eastAsia="Times New Roman" w:hAnsi="Times New Roman" w:cs="Times New Roman"/>
                  <w:color w:val="0000FF"/>
                  <w:sz w:val="18"/>
                  <w:u w:val="single"/>
                  <w:lang w:eastAsia="es-ES"/>
                </w:rPr>
                <w:t>BOE-A-1992-28740</w:t>
              </w:r>
            </w:hyperlink>
          </w:p>
        </w:tc>
      </w:tr>
    </w:tbl>
    <w:p w:rsidR="00721BFD" w:rsidRDefault="00721BFD" w:rsidP="00721BFD">
      <w:pPr>
        <w:pBdr>
          <w:bottom w:val="single" w:sz="6" w:space="1" w:color="auto"/>
        </w:pBdr>
        <w:spacing w:after="0" w:line="240" w:lineRule="auto"/>
        <w:jc w:val="center"/>
        <w:rPr>
          <w:rFonts w:ascii="Arial" w:eastAsia="Times New Roman" w:hAnsi="Arial" w:cs="Arial"/>
          <w:sz w:val="16"/>
          <w:szCs w:val="16"/>
          <w:lang w:eastAsia="es-ES"/>
        </w:rPr>
      </w:pPr>
    </w:p>
    <w:p w:rsidR="00721BFD" w:rsidRDefault="00721BFD" w:rsidP="00721BFD">
      <w:pPr>
        <w:pBdr>
          <w:bottom w:val="single" w:sz="6" w:space="1" w:color="auto"/>
        </w:pBdr>
        <w:spacing w:after="0" w:line="240" w:lineRule="auto"/>
        <w:jc w:val="center"/>
        <w:rPr>
          <w:rFonts w:ascii="Arial" w:eastAsia="Times New Roman" w:hAnsi="Arial" w:cs="Arial"/>
          <w:sz w:val="16"/>
          <w:szCs w:val="16"/>
          <w:lang w:eastAsia="es-ES"/>
        </w:rPr>
      </w:pPr>
    </w:p>
    <w:p w:rsidR="00721BFD" w:rsidRPr="00721BFD" w:rsidRDefault="00721BFD" w:rsidP="00721BFD">
      <w:pPr>
        <w:pBdr>
          <w:bottom w:val="single" w:sz="6" w:space="1" w:color="auto"/>
        </w:pBdr>
        <w:spacing w:after="0" w:line="240" w:lineRule="auto"/>
        <w:jc w:val="center"/>
        <w:rPr>
          <w:rFonts w:ascii="Arial" w:eastAsia="Times New Roman" w:hAnsi="Arial" w:cs="Arial"/>
          <w:vanish/>
          <w:sz w:val="16"/>
          <w:szCs w:val="16"/>
          <w:lang w:eastAsia="es-ES"/>
        </w:rPr>
      </w:pPr>
      <w:r w:rsidRPr="00721BFD">
        <w:rPr>
          <w:rFonts w:ascii="Arial" w:eastAsia="Times New Roman" w:hAnsi="Arial" w:cs="Arial"/>
          <w:vanish/>
          <w:sz w:val="16"/>
          <w:szCs w:val="16"/>
          <w:lang w:eastAsia="es-ES"/>
        </w:rPr>
        <w:t>Principio del formulario</w:t>
      </w:r>
    </w:p>
    <w:p w:rsidR="00721BFD" w:rsidRPr="00721BFD" w:rsidRDefault="00721BFD" w:rsidP="00721BFD">
      <w:pPr>
        <w:pBdr>
          <w:top w:val="single" w:sz="6" w:space="1" w:color="auto"/>
        </w:pBdr>
        <w:spacing w:after="0" w:line="240" w:lineRule="auto"/>
        <w:jc w:val="center"/>
        <w:rPr>
          <w:rFonts w:ascii="Arial" w:eastAsia="Times New Roman" w:hAnsi="Arial" w:cs="Arial"/>
          <w:vanish/>
          <w:sz w:val="16"/>
          <w:szCs w:val="16"/>
          <w:lang w:eastAsia="es-ES"/>
        </w:rPr>
      </w:pPr>
      <w:r w:rsidRPr="00721BFD">
        <w:rPr>
          <w:rFonts w:ascii="Arial" w:eastAsia="Times New Roman" w:hAnsi="Arial" w:cs="Arial"/>
          <w:vanish/>
          <w:sz w:val="16"/>
          <w:szCs w:val="16"/>
          <w:lang w:eastAsia="es-ES"/>
        </w:rPr>
        <w:t>Final del formulario</w:t>
      </w:r>
    </w:p>
    <w:p w:rsidR="00721BFD" w:rsidRPr="00721BFD" w:rsidRDefault="00721BFD" w:rsidP="00721BFD">
      <w:pPr>
        <w:shd w:val="clear" w:color="auto" w:fill="FFFFFF"/>
        <w:spacing w:before="360" w:after="180" w:line="240" w:lineRule="auto"/>
        <w:rPr>
          <w:rFonts w:ascii="Verdana" w:eastAsia="Times New Roman" w:hAnsi="Verdana" w:cs="Times New Roman"/>
          <w:b/>
          <w:bCs/>
          <w:color w:val="333333"/>
          <w:sz w:val="18"/>
          <w:szCs w:val="18"/>
          <w:lang w:eastAsia="es-ES"/>
        </w:rPr>
      </w:pPr>
      <w:r w:rsidRPr="00721BFD">
        <w:rPr>
          <w:rFonts w:ascii="Verdana" w:eastAsia="Times New Roman" w:hAnsi="Verdana" w:cs="Times New Roman"/>
          <w:b/>
          <w:bCs/>
          <w:color w:val="333333"/>
          <w:sz w:val="18"/>
          <w:szCs w:val="18"/>
          <w:lang w:eastAsia="es-ES"/>
        </w:rPr>
        <w:t>Artículo 91. Tipos impositivos reducidos.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Uno. Se aplicará el tipo del 10 por ciento a las operaciones siguientes: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1. Las entregas, adquisiciones intracomunitarias o importaciones de los bienes que se indican a continuación:</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1.º Las sustancias o productos, cualquiera que sea su origen que, por sus características, aplicaciones, componentes, preparación y estado de conservación, sean susceptibles de ser habitual e idóneamente utilizados para la nutrición humana o animal, de acuerdo con lo establecido en el Código Alimentario y las disposiciones dictadas para su desarrollo, excepto las bebidas alcohólicas.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Se entiende por bebida alcohólica todo líquido apto para el consumo humano por ingestión que contenga alcohol etílico.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A los efectos de este número no tendrán la consideración de alimento el tabaco ni las sustancias no aptas para el consumo humano o animal en el mismo estado en que fuesen objeto de entrega, adquisición intracomunitaria o importación.</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2.º</w:t>
      </w:r>
      <w:proofErr w:type="gramEnd"/>
      <w:r w:rsidRPr="00721BFD">
        <w:rPr>
          <w:rFonts w:ascii="Verdana" w:eastAsia="Times New Roman" w:hAnsi="Verdana" w:cs="Times New Roman"/>
          <w:color w:val="333333"/>
          <w:sz w:val="18"/>
          <w:szCs w:val="18"/>
          <w:lang w:eastAsia="es-ES"/>
        </w:rPr>
        <w:t xml:space="preserve"> Los animales, vegetales y los demás productos susceptibles de ser utilizados habitual e idóneamente para la obtención de los productos a que se refiere el número anterior, directamente o mezclados con otros de origen distinto.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Se comprenden en este número los animales destinados a su engorde antes de ser utilizados en el consumo humano o animal y los animales reproductores de los mismos o de aquellos otros a que se refiere el párrafo anterior.</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3.º Los siguientes bienes cuando por sus características objetivas, envasado, presentación y estado de conservación, sean susceptibles de ser utilizados directa, habitual e idóneamente en la realización de actividades agrícolas, forestales o ganaderas: semillas y materiales de origen exclusivamente animal o vegetal susceptibles de originar la reproducción de animales o vegetales; fertilizantes, residuos orgánicos, correctores y enmiendas, herbicidas, plaguicidas de uso fitosanitario o ganadero; los plásticos para cultivos en acolchado, en túnel o en invernadero y las bolsas de papel para la protección de las frutas antes de su recolección.</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4.º</w:t>
      </w:r>
      <w:proofErr w:type="gramEnd"/>
      <w:r w:rsidRPr="00721BFD">
        <w:rPr>
          <w:rFonts w:ascii="Verdana" w:eastAsia="Times New Roman" w:hAnsi="Verdana" w:cs="Times New Roman"/>
          <w:color w:val="333333"/>
          <w:sz w:val="18"/>
          <w:szCs w:val="18"/>
          <w:lang w:eastAsia="es-ES"/>
        </w:rPr>
        <w:t xml:space="preserve"> Las aguas aptas para la alimentación humana o animal o para el riego, incluso en estado sólido.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5.º</w:t>
      </w:r>
      <w:proofErr w:type="gramEnd"/>
      <w:r w:rsidRPr="00721BFD">
        <w:rPr>
          <w:rFonts w:ascii="Verdana" w:eastAsia="Times New Roman" w:hAnsi="Verdana" w:cs="Times New Roman"/>
          <w:color w:val="333333"/>
          <w:sz w:val="18"/>
          <w:szCs w:val="18"/>
          <w:lang w:eastAsia="es-ES"/>
        </w:rPr>
        <w:t xml:space="preserve"> Los medicamentos de uso veterinario.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6.º</w:t>
      </w:r>
      <w:proofErr w:type="gramEnd"/>
      <w:r w:rsidRPr="00721BFD">
        <w:rPr>
          <w:rFonts w:ascii="Verdana" w:eastAsia="Times New Roman" w:hAnsi="Verdana" w:cs="Times New Roman"/>
          <w:color w:val="333333"/>
          <w:sz w:val="18"/>
          <w:szCs w:val="18"/>
          <w:lang w:eastAsia="es-ES"/>
        </w:rPr>
        <w:t xml:space="preserve"> Los siguientes bienes: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a) Los productos farmacéuticos comprendidos en el Capítulo 30 «Productos farmacéuticos» de la Nomenclatura Combinada, susceptibles de uso directo por el consumidor final, distintos de los incluidos en el número 5</w:t>
      </w:r>
      <w:proofErr w:type="gramStart"/>
      <w:r w:rsidRPr="00721BFD">
        <w:rPr>
          <w:rFonts w:ascii="Verdana" w:eastAsia="Times New Roman" w:hAnsi="Verdana" w:cs="Times New Roman"/>
          <w:color w:val="333333"/>
          <w:sz w:val="18"/>
          <w:szCs w:val="18"/>
          <w:lang w:eastAsia="es-ES"/>
        </w:rPr>
        <w:t>.º</w:t>
      </w:r>
      <w:proofErr w:type="gramEnd"/>
      <w:r w:rsidRPr="00721BFD">
        <w:rPr>
          <w:rFonts w:ascii="Verdana" w:eastAsia="Times New Roman" w:hAnsi="Verdana" w:cs="Times New Roman"/>
          <w:color w:val="333333"/>
          <w:sz w:val="18"/>
          <w:szCs w:val="18"/>
          <w:lang w:eastAsia="es-ES"/>
        </w:rPr>
        <w:t xml:space="preserve"> de este apartado uno.1 y de </w:t>
      </w:r>
      <w:r w:rsidRPr="00721BFD">
        <w:rPr>
          <w:rFonts w:ascii="Verdana" w:eastAsia="Times New Roman" w:hAnsi="Verdana" w:cs="Times New Roman"/>
          <w:color w:val="333333"/>
          <w:sz w:val="18"/>
          <w:szCs w:val="18"/>
          <w:lang w:eastAsia="es-ES"/>
        </w:rPr>
        <w:lastRenderedPageBreak/>
        <w:t>aquellos a los que les resulte de aplicación el tipo impositivo establecido en el número 3.º del apartado dos.1 de este artículo.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b) Las compresas, tampones, </w:t>
      </w:r>
      <w:proofErr w:type="spellStart"/>
      <w:r w:rsidRPr="00721BFD">
        <w:rPr>
          <w:rFonts w:ascii="Verdana" w:eastAsia="Times New Roman" w:hAnsi="Verdana" w:cs="Times New Roman"/>
          <w:color w:val="333333"/>
          <w:sz w:val="18"/>
          <w:szCs w:val="18"/>
          <w:lang w:eastAsia="es-ES"/>
        </w:rPr>
        <w:t>protegeslips</w:t>
      </w:r>
      <w:proofErr w:type="spellEnd"/>
      <w:r w:rsidRPr="00721BFD">
        <w:rPr>
          <w:rFonts w:ascii="Verdana" w:eastAsia="Times New Roman" w:hAnsi="Verdana" w:cs="Times New Roman"/>
          <w:color w:val="333333"/>
          <w:sz w:val="18"/>
          <w:szCs w:val="18"/>
          <w:lang w:eastAsia="es-ES"/>
        </w:rPr>
        <w:t>, preservativos y otros anticonceptivos no medicinales.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c) </w:t>
      </w:r>
      <w:r w:rsidRPr="00721BFD">
        <w:rPr>
          <w:rFonts w:ascii="Verdana" w:eastAsia="Times New Roman" w:hAnsi="Verdana" w:cs="Times New Roman"/>
          <w:color w:val="333333"/>
          <w:sz w:val="18"/>
          <w:szCs w:val="18"/>
          <w:highlight w:val="yellow"/>
          <w:lang w:eastAsia="es-ES"/>
        </w:rPr>
        <w:t>Los equipos médicos, aparatos y demás instrumental</w:t>
      </w:r>
      <w:r w:rsidRPr="00721BFD">
        <w:rPr>
          <w:rFonts w:ascii="Verdana" w:eastAsia="Times New Roman" w:hAnsi="Verdana" w:cs="Times New Roman"/>
          <w:color w:val="333333"/>
          <w:sz w:val="18"/>
          <w:szCs w:val="18"/>
          <w:lang w:eastAsia="es-ES"/>
        </w:rPr>
        <w:t xml:space="preserve">, </w:t>
      </w:r>
      <w:r w:rsidRPr="00D66C22">
        <w:rPr>
          <w:rFonts w:ascii="Verdana" w:eastAsia="Times New Roman" w:hAnsi="Verdana" w:cs="Times New Roman"/>
          <w:color w:val="333333"/>
          <w:sz w:val="18"/>
          <w:szCs w:val="18"/>
          <w:highlight w:val="green"/>
          <w:lang w:eastAsia="es-ES"/>
        </w:rPr>
        <w:t>relacionados en el apartado</w:t>
      </w:r>
      <w:r w:rsidRPr="00721BFD">
        <w:rPr>
          <w:rFonts w:ascii="Verdana" w:eastAsia="Times New Roman" w:hAnsi="Verdana" w:cs="Times New Roman"/>
          <w:color w:val="333333"/>
          <w:sz w:val="18"/>
          <w:szCs w:val="18"/>
          <w:lang w:eastAsia="es-ES"/>
        </w:rPr>
        <w:t xml:space="preserve"> </w:t>
      </w:r>
      <w:r w:rsidRPr="00D66C22">
        <w:rPr>
          <w:rFonts w:ascii="Verdana" w:eastAsia="Times New Roman" w:hAnsi="Verdana" w:cs="Times New Roman"/>
          <w:color w:val="333333"/>
          <w:sz w:val="18"/>
          <w:szCs w:val="18"/>
          <w:highlight w:val="green"/>
          <w:lang w:eastAsia="es-ES"/>
        </w:rPr>
        <w:t>octavo del anexo de esta Ley</w:t>
      </w:r>
      <w:proofErr w:type="gramStart"/>
      <w:r w:rsidR="00D66C22" w:rsidRPr="00D66C22">
        <w:rPr>
          <w:rFonts w:ascii="Verdana" w:eastAsia="Times New Roman" w:hAnsi="Verdana" w:cs="Times New Roman"/>
          <w:color w:val="333333"/>
          <w:sz w:val="18"/>
          <w:szCs w:val="18"/>
          <w:highlight w:val="green"/>
          <w:lang w:eastAsia="es-ES"/>
        </w:rPr>
        <w:t>,*</w:t>
      </w:r>
      <w:proofErr w:type="gramEnd"/>
      <w:r w:rsidR="00D66C22" w:rsidRPr="00D66C22">
        <w:rPr>
          <w:rFonts w:ascii="Verdana" w:eastAsia="Times New Roman" w:hAnsi="Verdana" w:cs="Times New Roman"/>
          <w:color w:val="333333"/>
          <w:sz w:val="18"/>
          <w:szCs w:val="18"/>
          <w:highlight w:val="green"/>
          <w:lang w:eastAsia="es-ES"/>
        </w:rPr>
        <w:t>*</w:t>
      </w:r>
      <w:r w:rsidR="00D66C22" w:rsidRPr="00721BFD">
        <w:rPr>
          <w:rFonts w:ascii="Verdana" w:eastAsia="Times New Roman" w:hAnsi="Verdana" w:cs="Times New Roman"/>
          <w:color w:val="333333"/>
          <w:sz w:val="18"/>
          <w:szCs w:val="18"/>
          <w:lang w:eastAsia="es-ES"/>
        </w:rPr>
        <w:t xml:space="preserve"> </w:t>
      </w:r>
      <w:r w:rsidRPr="00721BFD">
        <w:rPr>
          <w:rFonts w:ascii="Verdana" w:eastAsia="Times New Roman" w:hAnsi="Verdana" w:cs="Times New Roman"/>
          <w:color w:val="333333"/>
          <w:sz w:val="18"/>
          <w:szCs w:val="18"/>
          <w:highlight w:val="yellow"/>
          <w:lang w:eastAsia="es-ES"/>
        </w:rPr>
        <w:t>que por sus características objetivas, estén diseñados para aliviar o tratar deficiencias, para uso personal y exclusivo de</w:t>
      </w:r>
      <w:r w:rsidRPr="00721BFD">
        <w:rPr>
          <w:rFonts w:ascii="Verdana" w:eastAsia="Times New Roman" w:hAnsi="Verdana" w:cs="Times New Roman"/>
          <w:color w:val="333333"/>
          <w:sz w:val="18"/>
          <w:szCs w:val="18"/>
          <w:lang w:eastAsia="es-ES"/>
        </w:rPr>
        <w:t xml:space="preserve"> personas que tengan </w:t>
      </w:r>
      <w:r w:rsidRPr="00721BFD">
        <w:rPr>
          <w:rFonts w:ascii="Verdana" w:eastAsia="Times New Roman" w:hAnsi="Verdana" w:cs="Times New Roman"/>
          <w:color w:val="333333"/>
          <w:sz w:val="18"/>
          <w:szCs w:val="18"/>
          <w:highlight w:val="yellow"/>
          <w:lang w:eastAsia="es-ES"/>
        </w:rPr>
        <w:t>deficiencias físicas, mentales, intelectuales o sensoriales</w:t>
      </w:r>
      <w:r w:rsidRPr="00721BFD">
        <w:rPr>
          <w:rFonts w:ascii="Verdana" w:eastAsia="Times New Roman" w:hAnsi="Verdana" w:cs="Times New Roman"/>
          <w:color w:val="333333"/>
          <w:sz w:val="18"/>
          <w:szCs w:val="18"/>
          <w:lang w:eastAsia="es-ES"/>
        </w:rPr>
        <w:t>, sin perjuicio de lo previsto en el apartado dos.1 de este artículo.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No se incluyen en esta letra otros accesorios, recambios y piezas de repuesto de dichos bienes.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7.º</w:t>
      </w:r>
      <w:proofErr w:type="gramEnd"/>
      <w:r w:rsidRPr="00721BFD">
        <w:rPr>
          <w:rFonts w:ascii="Verdana" w:eastAsia="Times New Roman" w:hAnsi="Verdana" w:cs="Times New Roman"/>
          <w:color w:val="333333"/>
          <w:sz w:val="18"/>
          <w:szCs w:val="18"/>
          <w:lang w:eastAsia="es-ES"/>
        </w:rPr>
        <w:t xml:space="preserve"> Los edificios o partes de los mismos aptos para su utilización como viviendas, incluidas las plazas de garaje, con un máximo de dos unidades, y anexos en ellos situados que se transmitan conjuntamente.</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En lo relativo a esta ley no tendrán la consideración de anexos a viviendas los locales de negocio, aunque se transmitan conjuntamente con los edificios o parte de los mismos destinados a viviendas.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No se considerarán edificios aptos para su utilización como viviendas las edificaciones destinadas a su demolición a que se refiere el artículo 20, apartado uno, número 22</w:t>
      </w:r>
      <w:proofErr w:type="gramStart"/>
      <w:r w:rsidRPr="00721BFD">
        <w:rPr>
          <w:rFonts w:ascii="Verdana" w:eastAsia="Times New Roman" w:hAnsi="Verdana" w:cs="Times New Roman"/>
          <w:color w:val="333333"/>
          <w:sz w:val="18"/>
          <w:szCs w:val="18"/>
          <w:lang w:eastAsia="es-ES"/>
        </w:rPr>
        <w:t>.º</w:t>
      </w:r>
      <w:proofErr w:type="gramEnd"/>
      <w:r w:rsidRPr="00721BFD">
        <w:rPr>
          <w:rFonts w:ascii="Verdana" w:eastAsia="Times New Roman" w:hAnsi="Verdana" w:cs="Times New Roman"/>
          <w:color w:val="333333"/>
          <w:sz w:val="18"/>
          <w:szCs w:val="18"/>
          <w:lang w:eastAsia="es-ES"/>
        </w:rPr>
        <w:t>, parte A), letra c) de esta ley.</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8.º</w:t>
      </w:r>
      <w:proofErr w:type="gramEnd"/>
      <w:r w:rsidRPr="00721BFD">
        <w:rPr>
          <w:rFonts w:ascii="Verdana" w:eastAsia="Times New Roman" w:hAnsi="Verdana" w:cs="Times New Roman"/>
          <w:color w:val="333333"/>
          <w:sz w:val="18"/>
          <w:szCs w:val="18"/>
          <w:lang w:eastAsia="es-ES"/>
        </w:rPr>
        <w:t xml:space="preserve"> Las flores, las plantas vivas de carácter ornamental, así como las semillas, bulbos, esquejes y otros productos de origen exclusivamente vegetal susceptibles de ser utilizados en su obtención.</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2. Las prestaciones de servicios siguientes: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1.º</w:t>
      </w:r>
      <w:proofErr w:type="gramEnd"/>
      <w:r w:rsidRPr="00721BFD">
        <w:rPr>
          <w:rFonts w:ascii="Verdana" w:eastAsia="Times New Roman" w:hAnsi="Verdana" w:cs="Times New Roman"/>
          <w:color w:val="333333"/>
          <w:sz w:val="18"/>
          <w:szCs w:val="18"/>
          <w:lang w:eastAsia="es-ES"/>
        </w:rPr>
        <w:t xml:space="preserve"> Los transportes de viajeros y sus equipajes.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2.º</w:t>
      </w:r>
      <w:proofErr w:type="gramEnd"/>
      <w:r w:rsidRPr="00721BFD">
        <w:rPr>
          <w:rFonts w:ascii="Verdana" w:eastAsia="Times New Roman" w:hAnsi="Verdana" w:cs="Times New Roman"/>
          <w:color w:val="333333"/>
          <w:sz w:val="18"/>
          <w:szCs w:val="18"/>
          <w:lang w:eastAsia="es-ES"/>
        </w:rPr>
        <w:t xml:space="preserve"> Los servicios de hostelería, </w:t>
      </w:r>
      <w:proofErr w:type="spellStart"/>
      <w:r w:rsidRPr="00721BFD">
        <w:rPr>
          <w:rFonts w:ascii="Verdana" w:eastAsia="Times New Roman" w:hAnsi="Verdana" w:cs="Times New Roman"/>
          <w:color w:val="333333"/>
          <w:sz w:val="18"/>
          <w:szCs w:val="18"/>
          <w:lang w:eastAsia="es-ES"/>
        </w:rPr>
        <w:t>acampamento</w:t>
      </w:r>
      <w:proofErr w:type="spellEnd"/>
      <w:r w:rsidRPr="00721BFD">
        <w:rPr>
          <w:rFonts w:ascii="Verdana" w:eastAsia="Times New Roman" w:hAnsi="Verdana" w:cs="Times New Roman"/>
          <w:color w:val="333333"/>
          <w:sz w:val="18"/>
          <w:szCs w:val="18"/>
          <w:lang w:eastAsia="es-ES"/>
        </w:rPr>
        <w:t xml:space="preserve"> y balneario, los de restaurantes y, en general, el suministro de comidas y bebidas para consumir en el acto, incluso si se confeccionan previo encargo del destinatario.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3.º Las efectuadas en favor de titulares de explotaciones agrícolas, forestales o ganaderas, necesarias para el desarrollo de las mismas, que se indican a continuación: plantación, siembra, injertado, abonado, cultivo y recolección; embalaje y acondicionamiento de los productos, incluido su secado, limpieza, descascarado, troceado, ensilado, almacenamiento y desinfección de los productos; cría, guarda y engorde de animales; nivelación, explanación o </w:t>
      </w:r>
      <w:proofErr w:type="spellStart"/>
      <w:r w:rsidRPr="00721BFD">
        <w:rPr>
          <w:rFonts w:ascii="Verdana" w:eastAsia="Times New Roman" w:hAnsi="Verdana" w:cs="Times New Roman"/>
          <w:color w:val="333333"/>
          <w:sz w:val="18"/>
          <w:szCs w:val="18"/>
          <w:lang w:eastAsia="es-ES"/>
        </w:rPr>
        <w:t>abancalamiento</w:t>
      </w:r>
      <w:proofErr w:type="spellEnd"/>
      <w:r w:rsidRPr="00721BFD">
        <w:rPr>
          <w:rFonts w:ascii="Verdana" w:eastAsia="Times New Roman" w:hAnsi="Verdana" w:cs="Times New Roman"/>
          <w:color w:val="333333"/>
          <w:sz w:val="18"/>
          <w:szCs w:val="18"/>
          <w:lang w:eastAsia="es-ES"/>
        </w:rPr>
        <w:t xml:space="preserve"> de tierras de cultivo; asistencia técnica; la eliminación de plantas y animales dañinos y la fumigación de plantaciones y terrenos; drenaje; tala, entresaca, astillado y descortezado de árboles y limpieza de bosques; y servicios veterinarios.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Lo dispuesto en el párrafo anterior no será aplicable en ningún caso a las cesiones de uso o disfrute o arrendamiento de bienes.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Igualmente se aplicará este tipo impositivo a las prestaciones de servicios realizadas por las cooperativas agrarias a sus socios como consecuencia de su actividad </w:t>
      </w:r>
      <w:proofErr w:type="spellStart"/>
      <w:r w:rsidRPr="00721BFD">
        <w:rPr>
          <w:rFonts w:ascii="Verdana" w:eastAsia="Times New Roman" w:hAnsi="Verdana" w:cs="Times New Roman"/>
          <w:color w:val="333333"/>
          <w:sz w:val="18"/>
          <w:szCs w:val="18"/>
          <w:lang w:eastAsia="es-ES"/>
        </w:rPr>
        <w:t>cooperativizada</w:t>
      </w:r>
      <w:proofErr w:type="spellEnd"/>
      <w:r w:rsidRPr="00721BFD">
        <w:rPr>
          <w:rFonts w:ascii="Verdana" w:eastAsia="Times New Roman" w:hAnsi="Verdana" w:cs="Times New Roman"/>
          <w:color w:val="333333"/>
          <w:sz w:val="18"/>
          <w:szCs w:val="18"/>
          <w:lang w:eastAsia="es-ES"/>
        </w:rPr>
        <w:t xml:space="preserve"> y en cumplimiento de su objeto social, incluida la utilización por los socios de la maquinaria en común.</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4.º</w:t>
      </w:r>
      <w:proofErr w:type="gramEnd"/>
      <w:r w:rsidRPr="00721BFD">
        <w:rPr>
          <w:rFonts w:ascii="Verdana" w:eastAsia="Times New Roman" w:hAnsi="Verdana" w:cs="Times New Roman"/>
          <w:color w:val="333333"/>
          <w:sz w:val="18"/>
          <w:szCs w:val="18"/>
          <w:lang w:eastAsia="es-ES"/>
        </w:rPr>
        <w:t xml:space="preserve"> Los servicios de limpieza de vías públicas, parques y jardines públicos.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5.º</w:t>
      </w:r>
      <w:proofErr w:type="gramEnd"/>
      <w:r w:rsidRPr="00721BFD">
        <w:rPr>
          <w:rFonts w:ascii="Verdana" w:eastAsia="Times New Roman" w:hAnsi="Verdana" w:cs="Times New Roman"/>
          <w:color w:val="333333"/>
          <w:sz w:val="18"/>
          <w:szCs w:val="18"/>
          <w:lang w:eastAsia="es-ES"/>
        </w:rPr>
        <w:t xml:space="preserve"> Los servicios de recogida, almacenamiento, transporte, valorización o eliminación de residuos, limpieza de alcantarillados públicos y desratización de los mismos y la recogida o tratamiento de las aguas residuales.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Se comprenden en el párrafo anterior los servicios de cesión, instalación y mantenimiento de recipientes normalizados utilizados en la recogida de residuos.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lastRenderedPageBreak/>
        <w:t>Se incluyen también en este número los servicios de recogida o tratamiento de vertidos en aguas interiores o marítimas.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6.º</w:t>
      </w:r>
      <w:proofErr w:type="gramEnd"/>
      <w:r w:rsidRPr="00721BFD">
        <w:rPr>
          <w:rFonts w:ascii="Verdana" w:eastAsia="Times New Roman" w:hAnsi="Verdana" w:cs="Times New Roman"/>
          <w:color w:val="333333"/>
          <w:sz w:val="18"/>
          <w:szCs w:val="18"/>
          <w:lang w:eastAsia="es-ES"/>
        </w:rPr>
        <w:t xml:space="preserve"> La entrada a bibliotecas, archivos y centros de documentación, museos, galerías de arte, pinacotecas, teatros, circos, festejos taurinos, conciertos, y a los demás espectáculos culturales en vivo.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7.º Las prestaciones de servicios a que se refiere el número 8º del apartado uno del artículo 20 de esta ley cuando no estén exentas de acuerdo con dicho precepto ni les resulte de aplicación el tipo impositivo establecido en el número 3º del apartado dos.2 de este artículo.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8.º</w:t>
      </w:r>
      <w:proofErr w:type="gramEnd"/>
      <w:r w:rsidRPr="00721BFD">
        <w:rPr>
          <w:rFonts w:ascii="Verdana" w:eastAsia="Times New Roman" w:hAnsi="Verdana" w:cs="Times New Roman"/>
          <w:color w:val="333333"/>
          <w:sz w:val="18"/>
          <w:szCs w:val="18"/>
          <w:lang w:eastAsia="es-ES"/>
        </w:rPr>
        <w:t xml:space="preserve"> Los espectáculos deportivos de carácter aficionado.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9.º</w:t>
      </w:r>
      <w:proofErr w:type="gramEnd"/>
      <w:r w:rsidRPr="00721BFD">
        <w:rPr>
          <w:rFonts w:ascii="Verdana" w:eastAsia="Times New Roman" w:hAnsi="Verdana" w:cs="Times New Roman"/>
          <w:color w:val="333333"/>
          <w:sz w:val="18"/>
          <w:szCs w:val="18"/>
          <w:lang w:eastAsia="es-ES"/>
        </w:rPr>
        <w:t xml:space="preserve"> Las exposiciones y ferias de carácter comercial.</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10</w:t>
      </w:r>
      <w:proofErr w:type="gramStart"/>
      <w:r w:rsidRPr="00721BFD">
        <w:rPr>
          <w:rFonts w:ascii="Verdana" w:eastAsia="Times New Roman" w:hAnsi="Verdana" w:cs="Times New Roman"/>
          <w:color w:val="333333"/>
          <w:sz w:val="18"/>
          <w:szCs w:val="18"/>
          <w:lang w:eastAsia="es-ES"/>
        </w:rPr>
        <w:t>.º</w:t>
      </w:r>
      <w:proofErr w:type="gramEnd"/>
      <w:r w:rsidRPr="00721BFD">
        <w:rPr>
          <w:rFonts w:ascii="Verdana" w:eastAsia="Times New Roman" w:hAnsi="Verdana" w:cs="Times New Roman"/>
          <w:color w:val="333333"/>
          <w:sz w:val="18"/>
          <w:szCs w:val="18"/>
          <w:lang w:eastAsia="es-ES"/>
        </w:rPr>
        <w:t xml:space="preserve"> Las ejecuciones de obra de renovación y reparación realizadas en edificios o partes de los mismos destinados a viviendas, cuando se cumplan los siguientes requisitos: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a) Que el destinatario sea persona física, no actúe como empresario o profesional y utilice la vivienda a que se refieren las obras para su uso particular.</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No obstante lo dispuesto en el párrafo anterior, también se comprenderán en este número las citadas ejecuciones de obra cuando su destinatario sea una comunidad de propietarios.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b) Que la construcción o rehabilitación de la vivienda a que se refieren las obras haya concluido al menos dos años antes del inicio de estas últimas.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c) Que la persona que realice las obras no aporte materiales para su ejecución o, en el caso de que los aporte, su coste no exceda del 40 por ciento de la base imponible de la operación.</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11</w:t>
      </w:r>
      <w:proofErr w:type="gramStart"/>
      <w:r w:rsidRPr="00721BFD">
        <w:rPr>
          <w:rFonts w:ascii="Verdana" w:eastAsia="Times New Roman" w:hAnsi="Verdana" w:cs="Times New Roman"/>
          <w:color w:val="333333"/>
          <w:sz w:val="18"/>
          <w:szCs w:val="18"/>
          <w:lang w:eastAsia="es-ES"/>
        </w:rPr>
        <w:t>.º</w:t>
      </w:r>
      <w:proofErr w:type="gramEnd"/>
      <w:r w:rsidRPr="00721BFD">
        <w:rPr>
          <w:rFonts w:ascii="Verdana" w:eastAsia="Times New Roman" w:hAnsi="Verdana" w:cs="Times New Roman"/>
          <w:color w:val="333333"/>
          <w:sz w:val="18"/>
          <w:szCs w:val="18"/>
          <w:lang w:eastAsia="es-ES"/>
        </w:rPr>
        <w:t xml:space="preserve"> Los arrendamientos con opción de compra de edificios o partes de los mismos destinados exclusivamente a viviendas, incluidas las plazas de garaje, con un máximo de dos unidades, y anexos en ellos situados que se arrienden conjuntamente.</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12.º La cesión de los derechos de aprovechamiento por turno de edificios, conjuntos inmobiliarios o sectores de ellos arquitectónicamente diferenciados cuando el inmueble tenga, al menos, diez alojamientos, de acuerdo con lo establecido en la normativa reguladora de estos servicios.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3. Las siguientes operaciones: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1.º Las ejecuciones de obras, con o sin aportación de materiales, consecuencia de contratos directamente formalizados entre el promotor y el contratista que tengan por objeto la construcción o rehabilitación de edificaciones o partes de las mismas destinadas principalmente a viviendas, incluidos los locales, anejos, garajes, instalaciones y servicios complementarios en ellos situados.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Se considerarán destinadas principalmente a viviendas, las edificaciones en las que al menos el 50 por ciento de la superficie construida se destine a dicha utilización.</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2.º Las ventas con instalación de armarios de cocina y de baño y de armarios empotrados para las edificaciones a que se refiere el número 1º anterior, que sean realizadas como consecuencia de contratos directamente formalizados con el promotor de la construcción o rehabilitación de dichas edificaciones.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3.º Las ejecuciones de obra, con o sin aportación de materiales, consecuencia de contratos directamente formalizados entre las Comunidades de Propietarios de las edificaciones o partes de las mismas a que se refiere el número 1º anterior y el contratista que tengan por objeto la construcción de garajes complementarios de dichas edificaciones, siempre que dichas ejecuciones de obra se realicen en terrenos o locales que sean elementos </w:t>
      </w:r>
      <w:r w:rsidRPr="00721BFD">
        <w:rPr>
          <w:rFonts w:ascii="Verdana" w:eastAsia="Times New Roman" w:hAnsi="Verdana" w:cs="Times New Roman"/>
          <w:color w:val="333333"/>
          <w:sz w:val="18"/>
          <w:szCs w:val="18"/>
          <w:lang w:eastAsia="es-ES"/>
        </w:rPr>
        <w:lastRenderedPageBreak/>
        <w:t>comunes de dichas Comunidades y el número de plazas de garaje a adjudicar a cada uno de los propietarios no exceda de dos unidades.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4. Las importaciones de objetos de arte, antigüedades y objetos de colección, cualquiera que sea el importador de los mismos, y las entregas de objetos de arte realizadas por las siguientes personas: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1.º</w:t>
      </w:r>
      <w:proofErr w:type="gramEnd"/>
      <w:r w:rsidRPr="00721BFD">
        <w:rPr>
          <w:rFonts w:ascii="Verdana" w:eastAsia="Times New Roman" w:hAnsi="Verdana" w:cs="Times New Roman"/>
          <w:color w:val="333333"/>
          <w:sz w:val="18"/>
          <w:szCs w:val="18"/>
          <w:lang w:eastAsia="es-ES"/>
        </w:rPr>
        <w:t xml:space="preserve"> Por sus autores o derechohabientes.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2.º Por empresarios o profesionales distintos de los revendedores de objetos de arte a que se refiere el artículo 136 de esta Ley, cuando tengan derecho a deducir íntegramente el Impuesto soportado por repercusión directa o satisfecho en la adquisición o importación del mismo bien.</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5. Las adquisiciones intracomunitarias de objetos de arte cuando el proveedor de los mismos sea cualquiera de las personas a que se refieren los números 1</w:t>
      </w:r>
      <w:proofErr w:type="gramStart"/>
      <w:r w:rsidRPr="00721BFD">
        <w:rPr>
          <w:rFonts w:ascii="Verdana" w:eastAsia="Times New Roman" w:hAnsi="Verdana" w:cs="Times New Roman"/>
          <w:color w:val="333333"/>
          <w:sz w:val="18"/>
          <w:szCs w:val="18"/>
          <w:lang w:eastAsia="es-ES"/>
        </w:rPr>
        <w:t>.º</w:t>
      </w:r>
      <w:proofErr w:type="gramEnd"/>
      <w:r w:rsidRPr="00721BFD">
        <w:rPr>
          <w:rFonts w:ascii="Verdana" w:eastAsia="Times New Roman" w:hAnsi="Verdana" w:cs="Times New Roman"/>
          <w:color w:val="333333"/>
          <w:sz w:val="18"/>
          <w:szCs w:val="18"/>
          <w:lang w:eastAsia="es-ES"/>
        </w:rPr>
        <w:t xml:space="preserve"> y 2.º del número 4 precedente.</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highlight w:val="yellow"/>
          <w:lang w:eastAsia="es-ES"/>
        </w:rPr>
        <w:t>Dos. Se aplicará el tipo del 4 por ciento a las operaciones siguientes</w:t>
      </w:r>
      <w:r w:rsidRPr="00721BFD">
        <w:rPr>
          <w:rFonts w:ascii="Verdana" w:eastAsia="Times New Roman" w:hAnsi="Verdana" w:cs="Times New Roman"/>
          <w:color w:val="333333"/>
          <w:sz w:val="18"/>
          <w:szCs w:val="18"/>
          <w:lang w:eastAsia="es-ES"/>
        </w:rPr>
        <w:t>:</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1. Las entregas, adquisiciones intracomunitarias o importaciones de los bienes que se indican a continuación:</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1.º</w:t>
      </w:r>
      <w:proofErr w:type="gramEnd"/>
      <w:r w:rsidRPr="00721BFD">
        <w:rPr>
          <w:rFonts w:ascii="Verdana" w:eastAsia="Times New Roman" w:hAnsi="Verdana" w:cs="Times New Roman"/>
          <w:color w:val="333333"/>
          <w:sz w:val="18"/>
          <w:szCs w:val="18"/>
          <w:lang w:eastAsia="es-ES"/>
        </w:rPr>
        <w:t xml:space="preserve"> Los siguientes productos: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a) El pan común, así como la masa de pan común </w:t>
      </w:r>
      <w:proofErr w:type="gramStart"/>
      <w:r w:rsidRPr="00721BFD">
        <w:rPr>
          <w:rFonts w:ascii="Verdana" w:eastAsia="Times New Roman" w:hAnsi="Verdana" w:cs="Times New Roman"/>
          <w:color w:val="333333"/>
          <w:sz w:val="18"/>
          <w:szCs w:val="18"/>
          <w:lang w:eastAsia="es-ES"/>
        </w:rPr>
        <w:t>congelada</w:t>
      </w:r>
      <w:proofErr w:type="gramEnd"/>
      <w:r w:rsidRPr="00721BFD">
        <w:rPr>
          <w:rFonts w:ascii="Verdana" w:eastAsia="Times New Roman" w:hAnsi="Verdana" w:cs="Times New Roman"/>
          <w:color w:val="333333"/>
          <w:sz w:val="18"/>
          <w:szCs w:val="18"/>
          <w:lang w:eastAsia="es-ES"/>
        </w:rPr>
        <w:t xml:space="preserve"> y el pan común congelado destinados exclusivamente a la elaboración del pan común.</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b) Las harinas panificables.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c) Los siguientes tipos de leche producida por cualquier especie animal: natural, certificada, pasterizada, concentrada, desnatada, esterilizada, UHT, evaporada y en polvo.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d) Los quesos.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e) Los huevos.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f) Las frutas, verduras, hortalizas, legumbres, tubérculos y cereales, que tengan la condición de productos naturales de acuerdo con el Código Alimentario y las disposiciones dictadas para su desarrollo.</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2.º</w:t>
      </w:r>
      <w:proofErr w:type="gramEnd"/>
      <w:r w:rsidRPr="00721BFD">
        <w:rPr>
          <w:rFonts w:ascii="Verdana" w:eastAsia="Times New Roman" w:hAnsi="Verdana" w:cs="Times New Roman"/>
          <w:color w:val="333333"/>
          <w:sz w:val="18"/>
          <w:szCs w:val="18"/>
          <w:lang w:eastAsia="es-ES"/>
        </w:rPr>
        <w:t xml:space="preserve"> Los libros, periódicos y revistas que no contengan única o fundamentalmente publicidad, así como los elementos complementarios que se entreguen conjuntamente con estos bienes mediante precio único.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Se comprenderán en este número las ejecuciones de obra que tengan como resultado inmediato la obtención de un libro, periódico o revista en pliego o en continuo, de un fotolito de dichos bienes o que consistan en la encuadernación de los mismos.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A estos efectos tendrán la consideración de elementos complementarios las cintas magnetofónicas, discos, videocasetes y otros soportes sonoros o videomagnéticos similares que constituyan una unidad funcional con el libro, periódico o revista, perfeccionando o completando su contenido y que se vendan con ellos, con las siguientes excepciones: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a) Los discos y cintas magnetofónicas que contengan exclusivamente obras musicales y cuyo valor de mercado sea superior al del libro, periódico o revista con el que se entreguen conjuntamente.</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lastRenderedPageBreak/>
        <w:t xml:space="preserve">b) </w:t>
      </w:r>
      <w:proofErr w:type="gramStart"/>
      <w:r w:rsidRPr="00721BFD">
        <w:rPr>
          <w:rFonts w:ascii="Verdana" w:eastAsia="Times New Roman" w:hAnsi="Verdana" w:cs="Times New Roman"/>
          <w:color w:val="333333"/>
          <w:sz w:val="18"/>
          <w:szCs w:val="18"/>
          <w:lang w:eastAsia="es-ES"/>
        </w:rPr>
        <w:t>Los</w:t>
      </w:r>
      <w:proofErr w:type="gramEnd"/>
      <w:r w:rsidRPr="00721BFD">
        <w:rPr>
          <w:rFonts w:ascii="Verdana" w:eastAsia="Times New Roman" w:hAnsi="Verdana" w:cs="Times New Roman"/>
          <w:color w:val="333333"/>
          <w:sz w:val="18"/>
          <w:szCs w:val="18"/>
          <w:lang w:eastAsia="es-ES"/>
        </w:rPr>
        <w:t xml:space="preserve"> videocasetes y otros soportes sonoros o videomagnéticos similares que contengan películas cinematográficas, programas o series de televisión de ficción o musicales y cuyo valor de mercado sea superior al del libro, periódico o revista con el que se entreguen conjuntamente.</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c) Los productos informáticos grabados por cualquier medio en los soportes indicados en las letras anteriores, cuando contengan principalmente programas o aplicaciones que se comercialicen de forma independiente en el mercado.</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Se entenderá que los libros, periódicos y revistas contienen fundamentalmente publicidad cuando más del 75 por ciento de los ingresos que proporcionen a su editor se obtengan por este concepto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Se considerarán comprendidos en este número los álbumes, partituras, mapas y cuadernos de dibujo, excepto los artículos y aparatos electrónicos.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3.º</w:t>
      </w:r>
      <w:proofErr w:type="gramEnd"/>
      <w:r w:rsidRPr="00721BFD">
        <w:rPr>
          <w:rFonts w:ascii="Verdana" w:eastAsia="Times New Roman" w:hAnsi="Verdana" w:cs="Times New Roman"/>
          <w:color w:val="333333"/>
          <w:sz w:val="18"/>
          <w:szCs w:val="18"/>
          <w:lang w:eastAsia="es-ES"/>
        </w:rPr>
        <w:t xml:space="preserve"> Los medicamentos de uso humano, así como las formas galénicas, fórmulas magistrales y preparados oficinales.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4.º Los vehículos para personas con movilidad reducida a que se refiere el número 20 del Anexo I del Real Decreto Legislativo 339/1990, de 2 de marzo, por el que se aprueba el Texto Articulado de la Ley sobre Tráfico, Circulación de Vehículos a Motor y Seguridad Vial, en la redacción dada por el Anexo II A del Real Decreto 2822/1998, de 23 de diciembre, por el que se aprueba el Reglamento General de Vehículos, y las sillas de ruedas para uso exclusivo de personas con discapacidad.</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Los vehículos destinados a ser utilizados como </w:t>
      </w:r>
      <w:proofErr w:type="spellStart"/>
      <w:r w:rsidRPr="00721BFD">
        <w:rPr>
          <w:rFonts w:ascii="Verdana" w:eastAsia="Times New Roman" w:hAnsi="Verdana" w:cs="Times New Roman"/>
          <w:color w:val="333333"/>
          <w:sz w:val="18"/>
          <w:szCs w:val="18"/>
          <w:lang w:eastAsia="es-ES"/>
        </w:rPr>
        <w:t>autotaxis</w:t>
      </w:r>
      <w:proofErr w:type="spellEnd"/>
      <w:r w:rsidRPr="00721BFD">
        <w:rPr>
          <w:rFonts w:ascii="Verdana" w:eastAsia="Times New Roman" w:hAnsi="Verdana" w:cs="Times New Roman"/>
          <w:color w:val="333333"/>
          <w:sz w:val="18"/>
          <w:szCs w:val="18"/>
          <w:lang w:eastAsia="es-ES"/>
        </w:rPr>
        <w:t xml:space="preserve"> o </w:t>
      </w:r>
      <w:proofErr w:type="spellStart"/>
      <w:r w:rsidRPr="00721BFD">
        <w:rPr>
          <w:rFonts w:ascii="Verdana" w:eastAsia="Times New Roman" w:hAnsi="Verdana" w:cs="Times New Roman"/>
          <w:color w:val="333333"/>
          <w:sz w:val="18"/>
          <w:szCs w:val="18"/>
          <w:lang w:eastAsia="es-ES"/>
        </w:rPr>
        <w:t>autoturismos</w:t>
      </w:r>
      <w:proofErr w:type="spellEnd"/>
      <w:r w:rsidRPr="00721BFD">
        <w:rPr>
          <w:rFonts w:ascii="Verdana" w:eastAsia="Times New Roman" w:hAnsi="Verdana" w:cs="Times New Roman"/>
          <w:color w:val="333333"/>
          <w:sz w:val="18"/>
          <w:szCs w:val="18"/>
          <w:lang w:eastAsia="es-ES"/>
        </w:rPr>
        <w:t xml:space="preserve"> especiales para el transporte de personas con discapacidad en silla de ruedas, bien directamente o previa su adaptación, así como los vehículos a motor que, previa adaptación o no, deban transportar habitualmente a personas con discapacidad en silla de ruedas o con movilidad reducida, con independencia de quien sea el conductor de los mismos.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La aplicación del tipo impositivo reducido a los vehículos comprendidos en el párrafo anterior requerirá el previo reconocimiento del derecho del adquirente, que deberá justificar el destino del vehículo.</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highlight w:val="yellow"/>
          <w:lang w:eastAsia="es-ES"/>
        </w:rPr>
        <w:t>A efectos de este apartado dos, se considerarán personas con discapacidad aquellas con un grado de discapacidad igual o superior al 33 por ciento. El grado de discapacidad deberá acreditarse mediante certificación o resolución expedida por el Instituto de Mayores y Servicios Sociales o el órgano competente de la comunidad autónoma.</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highlight w:val="yellow"/>
          <w:lang w:eastAsia="es-ES"/>
        </w:rPr>
        <w:t>5.º</w:t>
      </w:r>
      <w:proofErr w:type="gramEnd"/>
      <w:r w:rsidRPr="00721BFD">
        <w:rPr>
          <w:rFonts w:ascii="Verdana" w:eastAsia="Times New Roman" w:hAnsi="Verdana" w:cs="Times New Roman"/>
          <w:color w:val="333333"/>
          <w:sz w:val="18"/>
          <w:szCs w:val="18"/>
          <w:highlight w:val="yellow"/>
          <w:lang w:eastAsia="es-ES"/>
        </w:rPr>
        <w:t xml:space="preserve"> Las prótesis, </w:t>
      </w:r>
      <w:proofErr w:type="spellStart"/>
      <w:r w:rsidRPr="00721BFD">
        <w:rPr>
          <w:rFonts w:ascii="Verdana" w:eastAsia="Times New Roman" w:hAnsi="Verdana" w:cs="Times New Roman"/>
          <w:color w:val="333333"/>
          <w:sz w:val="18"/>
          <w:szCs w:val="18"/>
          <w:highlight w:val="yellow"/>
          <w:lang w:eastAsia="es-ES"/>
        </w:rPr>
        <w:t>ortesis</w:t>
      </w:r>
      <w:proofErr w:type="spellEnd"/>
      <w:r w:rsidRPr="00721BFD">
        <w:rPr>
          <w:rFonts w:ascii="Verdana" w:eastAsia="Times New Roman" w:hAnsi="Verdana" w:cs="Times New Roman"/>
          <w:color w:val="333333"/>
          <w:sz w:val="18"/>
          <w:szCs w:val="18"/>
          <w:highlight w:val="yellow"/>
          <w:lang w:eastAsia="es-ES"/>
        </w:rPr>
        <w:t xml:space="preserve"> e implantes internos para personas con discapacidad.</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6.º Las viviendas calificadas administrativamente como de protección oficial de régimen especial o de promoción pública, cuando las entregas se efectúen por sus promotores, incluidos los garajes y anexos situados en el mismo edificio que se transmitan conjuntamente. A estos efectos, el número de plazas de garaje no podrá exceder de dos unidades.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Las viviendas que sean adquiridas por las entidades que apliquen el régimen especial previsto en el capítulo III del Título VII del Texto Refundido de la Ley del Impuesto sobre Sociedades aprobado por el Real Decreto Legislativo 4/2004, de 5 de marzo, siempre que a las rentas derivadas de su posterior arrendamiento les sea aplicable la bonificación establecida en el apartado 1 del artículo 54 de la citada Ley. A estos efectos, la entidad adquirente comunicará esta circunstancia al sujeto pasivo con anterioridad al devengo de la operación en la forma que se determine reglamentariamente.</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2. Las prestaciones de servicios siguientes:</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proofErr w:type="gramStart"/>
      <w:r w:rsidRPr="00721BFD">
        <w:rPr>
          <w:rFonts w:ascii="Verdana" w:eastAsia="Times New Roman" w:hAnsi="Verdana" w:cs="Times New Roman"/>
          <w:color w:val="333333"/>
          <w:sz w:val="18"/>
          <w:szCs w:val="18"/>
          <w:lang w:eastAsia="es-ES"/>
        </w:rPr>
        <w:t>1.º</w:t>
      </w:r>
      <w:proofErr w:type="gramEnd"/>
      <w:r w:rsidRPr="00721BFD">
        <w:rPr>
          <w:rFonts w:ascii="Verdana" w:eastAsia="Times New Roman" w:hAnsi="Verdana" w:cs="Times New Roman"/>
          <w:color w:val="333333"/>
          <w:sz w:val="18"/>
          <w:szCs w:val="18"/>
          <w:lang w:eastAsia="es-ES"/>
        </w:rPr>
        <w:t xml:space="preserve"> Los servicios de reparación de los vehículos y de las sillas de ruedas comprendidos en el párrafo primero del número 4.º del apartado dos.1 de este artículo y los servicios de adaptación de los </w:t>
      </w:r>
      <w:proofErr w:type="spellStart"/>
      <w:r w:rsidRPr="00721BFD">
        <w:rPr>
          <w:rFonts w:ascii="Verdana" w:eastAsia="Times New Roman" w:hAnsi="Verdana" w:cs="Times New Roman"/>
          <w:color w:val="333333"/>
          <w:sz w:val="18"/>
          <w:szCs w:val="18"/>
          <w:lang w:eastAsia="es-ES"/>
        </w:rPr>
        <w:t>autotaxis</w:t>
      </w:r>
      <w:proofErr w:type="spellEnd"/>
      <w:r w:rsidRPr="00721BFD">
        <w:rPr>
          <w:rFonts w:ascii="Verdana" w:eastAsia="Times New Roman" w:hAnsi="Verdana" w:cs="Times New Roman"/>
          <w:color w:val="333333"/>
          <w:sz w:val="18"/>
          <w:szCs w:val="18"/>
          <w:lang w:eastAsia="es-ES"/>
        </w:rPr>
        <w:t xml:space="preserve"> y </w:t>
      </w:r>
      <w:proofErr w:type="spellStart"/>
      <w:r w:rsidRPr="00721BFD">
        <w:rPr>
          <w:rFonts w:ascii="Verdana" w:eastAsia="Times New Roman" w:hAnsi="Verdana" w:cs="Times New Roman"/>
          <w:color w:val="333333"/>
          <w:sz w:val="18"/>
          <w:szCs w:val="18"/>
          <w:lang w:eastAsia="es-ES"/>
        </w:rPr>
        <w:t>autoturismos</w:t>
      </w:r>
      <w:proofErr w:type="spellEnd"/>
      <w:r w:rsidRPr="00721BFD">
        <w:rPr>
          <w:rFonts w:ascii="Verdana" w:eastAsia="Times New Roman" w:hAnsi="Verdana" w:cs="Times New Roman"/>
          <w:color w:val="333333"/>
          <w:sz w:val="18"/>
          <w:szCs w:val="18"/>
          <w:lang w:eastAsia="es-ES"/>
        </w:rPr>
        <w:t xml:space="preserve"> para personas con discapacidad y de los </w:t>
      </w:r>
      <w:r w:rsidRPr="00721BFD">
        <w:rPr>
          <w:rFonts w:ascii="Verdana" w:eastAsia="Times New Roman" w:hAnsi="Verdana" w:cs="Times New Roman"/>
          <w:color w:val="333333"/>
          <w:sz w:val="18"/>
          <w:szCs w:val="18"/>
          <w:lang w:eastAsia="es-ES"/>
        </w:rPr>
        <w:lastRenderedPageBreak/>
        <w:t>vehículos a motor a los que se refiere el párrafo segundo del mismo precepto, independientemente de quién sea el conductor de los mismos.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2.º Los arrendamientos con opción de compra de edificios o partes de los mismos destinados exclusivamente a viviendas calificadas administrativamente como de protección oficial de régimen especial o de promoción pública, incluidas las plazas de garaje, con un máximo de dos unidades, y anexos en ellos situados que se arrienden conjuntamente.</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 xml:space="preserve">3.º Los servicios de </w:t>
      </w:r>
      <w:proofErr w:type="spellStart"/>
      <w:r w:rsidRPr="00721BFD">
        <w:rPr>
          <w:rFonts w:ascii="Verdana" w:eastAsia="Times New Roman" w:hAnsi="Verdana" w:cs="Times New Roman"/>
          <w:color w:val="333333"/>
          <w:sz w:val="18"/>
          <w:szCs w:val="18"/>
          <w:lang w:eastAsia="es-ES"/>
        </w:rPr>
        <w:t>teleasistencia</w:t>
      </w:r>
      <w:proofErr w:type="spellEnd"/>
      <w:r w:rsidRPr="00721BFD">
        <w:rPr>
          <w:rFonts w:ascii="Verdana" w:eastAsia="Times New Roman" w:hAnsi="Verdana" w:cs="Times New Roman"/>
          <w:color w:val="333333"/>
          <w:sz w:val="18"/>
          <w:szCs w:val="18"/>
          <w:lang w:eastAsia="es-ES"/>
        </w:rPr>
        <w:t>, ayuda a domicilio, centro de día y de noche y atención residencial, a que se refieren las letras b), c), d) y e) del apartado 1 del artículo 15 de la Ley 39/2006, de 14 de diciembre, de Promoción de la Autonomía Personal y Atención a las personas en situación de dependencia, siempre que se presten en plazas concertadas en centros o residencias o mediante precios derivados de un concurso administrativo adjudicado a las empresas prestadoras, o como consecuencia de una prestación económica vinculada a tales servicios que cubra más del 75 por ciento de su precio, en aplicación, en ambos casos, de lo dispuesto en dicha Ley.</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Lo dispuesto en este número 3</w:t>
      </w:r>
      <w:proofErr w:type="gramStart"/>
      <w:r w:rsidRPr="00721BFD">
        <w:rPr>
          <w:rFonts w:ascii="Verdana" w:eastAsia="Times New Roman" w:hAnsi="Verdana" w:cs="Times New Roman"/>
          <w:color w:val="333333"/>
          <w:sz w:val="18"/>
          <w:szCs w:val="18"/>
          <w:lang w:eastAsia="es-ES"/>
        </w:rPr>
        <w:t>.º</w:t>
      </w:r>
      <w:proofErr w:type="gramEnd"/>
      <w:r w:rsidRPr="00721BFD">
        <w:rPr>
          <w:rFonts w:ascii="Verdana" w:eastAsia="Times New Roman" w:hAnsi="Verdana" w:cs="Times New Roman"/>
          <w:color w:val="333333"/>
          <w:sz w:val="18"/>
          <w:szCs w:val="18"/>
          <w:lang w:eastAsia="es-ES"/>
        </w:rPr>
        <w:t xml:space="preserve"> no se aplicará a los servicios que resulten exentos por aplicación del número 8.º del apartado uno del artículo 20 de esta Ley.</w:t>
      </w:r>
    </w:p>
    <w:p w:rsidR="00721BFD" w:rsidRPr="00721BFD" w:rsidRDefault="00721BFD" w:rsidP="00721BFD">
      <w:pPr>
        <w:shd w:val="clear" w:color="auto" w:fill="FFFFFF"/>
        <w:spacing w:before="36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Tres. Lo dispuesto en los apartados uno.1 y dos.1 de este artículo será también aplicable a las ejecuciones de obra que sean prestaciones de servicios, de acuerdo con lo previsto en el artículo 11 de esta Ley, y tengan como resultado inmediato la obtención de alguno de los bienes a cuya entrega resulte aplicable uno de los tipos reducidos previstos en dichos preceptos.</w:t>
      </w:r>
    </w:p>
    <w:p w:rsidR="00721BFD" w:rsidRPr="00721BFD" w:rsidRDefault="00721BFD" w:rsidP="00721BFD">
      <w:pPr>
        <w:shd w:val="clear" w:color="auto" w:fill="FFFFFF"/>
        <w:spacing w:before="180" w:after="180" w:line="240" w:lineRule="auto"/>
        <w:ind w:firstLine="360"/>
        <w:jc w:val="both"/>
        <w:rPr>
          <w:rFonts w:ascii="Verdana" w:eastAsia="Times New Roman" w:hAnsi="Verdana" w:cs="Times New Roman"/>
          <w:color w:val="333333"/>
          <w:sz w:val="18"/>
          <w:szCs w:val="18"/>
          <w:lang w:eastAsia="es-ES"/>
        </w:rPr>
      </w:pPr>
      <w:r w:rsidRPr="00721BFD">
        <w:rPr>
          <w:rFonts w:ascii="Verdana" w:eastAsia="Times New Roman" w:hAnsi="Verdana" w:cs="Times New Roman"/>
          <w:color w:val="333333"/>
          <w:sz w:val="18"/>
          <w:szCs w:val="18"/>
          <w:lang w:eastAsia="es-ES"/>
        </w:rPr>
        <w:t>El contenido del párrafo anterior no será de aplicación a las ejecuciones de obra que tengan por objeto la construcción o rehabilitación de viviendas de protección oficial de régimen especial o de promoción pública a que se refiere el apartado uno.3 de este artículo.</w:t>
      </w:r>
    </w:p>
    <w:p w:rsidR="00D66C22" w:rsidRDefault="00D66C22" w:rsidP="00D66C22">
      <w:pPr>
        <w:pStyle w:val="anexo"/>
        <w:shd w:val="clear" w:color="auto" w:fill="FFFFFF"/>
        <w:spacing w:before="720" w:beforeAutospacing="0" w:after="240" w:afterAutospacing="0"/>
        <w:ind w:left="960" w:right="960"/>
        <w:jc w:val="center"/>
        <w:rPr>
          <w:rFonts w:ascii="Verdana" w:hAnsi="Verdana"/>
          <w:b/>
          <w:bCs/>
          <w:color w:val="333333"/>
          <w:sz w:val="18"/>
          <w:szCs w:val="18"/>
        </w:rPr>
      </w:pPr>
      <w:r>
        <w:rPr>
          <w:rFonts w:ascii="Verdana" w:hAnsi="Verdana"/>
          <w:b/>
          <w:bCs/>
          <w:color w:val="333333"/>
          <w:sz w:val="18"/>
          <w:szCs w:val="18"/>
        </w:rPr>
        <w:t>ANEXO</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A los efectos de lo dispuesto en esta Ley se considerará:</w:t>
      </w:r>
    </w:p>
    <w:p w:rsidR="00BB4F1E" w:rsidRPr="00D66C22" w:rsidRDefault="00D66C22">
      <w:pPr>
        <w:rPr>
          <w:b/>
        </w:rPr>
      </w:pPr>
      <w:r>
        <w:t xml:space="preserve">    </w:t>
      </w:r>
      <w:r w:rsidRPr="00D66C22">
        <w:rPr>
          <w:b/>
        </w:rPr>
        <w:t>(…)</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 xml:space="preserve">**Octavo. Relación de bienes a que se refiere el artículo </w:t>
      </w:r>
      <w:r w:rsidRPr="00D66C22">
        <w:rPr>
          <w:rFonts w:ascii="Verdana" w:hAnsi="Verdana"/>
          <w:color w:val="333333"/>
          <w:sz w:val="18"/>
          <w:szCs w:val="18"/>
          <w:highlight w:val="yellow"/>
        </w:rPr>
        <w:t>91.Uno.1.6</w:t>
      </w:r>
      <w:proofErr w:type="gramStart"/>
      <w:r w:rsidRPr="00D66C22">
        <w:rPr>
          <w:rFonts w:ascii="Verdana" w:hAnsi="Verdana"/>
          <w:color w:val="333333"/>
          <w:sz w:val="18"/>
          <w:szCs w:val="18"/>
          <w:highlight w:val="yellow"/>
        </w:rPr>
        <w:t>.º</w:t>
      </w:r>
      <w:proofErr w:type="gramEnd"/>
      <w:r w:rsidRPr="00D66C22">
        <w:rPr>
          <w:rFonts w:ascii="Verdana" w:hAnsi="Verdana"/>
          <w:color w:val="333333"/>
          <w:sz w:val="18"/>
          <w:szCs w:val="18"/>
          <w:highlight w:val="yellow"/>
        </w:rPr>
        <w:t>c)</w:t>
      </w:r>
      <w:r>
        <w:rPr>
          <w:rFonts w:ascii="Verdana" w:hAnsi="Verdana"/>
          <w:color w:val="333333"/>
          <w:sz w:val="18"/>
          <w:szCs w:val="18"/>
        </w:rPr>
        <w:t xml:space="preserve"> de esta Ley.</w:t>
      </w:r>
    </w:p>
    <w:p w:rsidR="00D66C22" w:rsidRDefault="00D66C22" w:rsidP="00D66C22">
      <w:pPr>
        <w:pStyle w:val="parrafo2"/>
        <w:shd w:val="clear" w:color="auto" w:fill="FFFFFF"/>
        <w:spacing w:before="360" w:beforeAutospacing="0" w:after="180" w:afterAutospacing="0"/>
        <w:ind w:firstLine="360"/>
        <w:jc w:val="both"/>
        <w:rPr>
          <w:rFonts w:ascii="Verdana" w:hAnsi="Verdana"/>
          <w:color w:val="333333"/>
          <w:sz w:val="18"/>
          <w:szCs w:val="18"/>
        </w:rPr>
      </w:pPr>
      <w:r>
        <w:rPr>
          <w:rFonts w:ascii="Verdana" w:hAnsi="Verdana"/>
          <w:color w:val="333333"/>
          <w:sz w:val="18"/>
          <w:szCs w:val="18"/>
        </w:rPr>
        <w:t xml:space="preserve">– </w:t>
      </w:r>
      <w:r w:rsidRPr="00D66C22">
        <w:rPr>
          <w:rFonts w:ascii="Verdana" w:hAnsi="Verdana"/>
          <w:color w:val="333333"/>
          <w:sz w:val="18"/>
          <w:szCs w:val="18"/>
          <w:highlight w:val="yellow"/>
        </w:rPr>
        <w:t>Las gafas, monturas para gafas graduadas, lentes de contacto graduadas y los productos necesarios para su uso, cuidado y mantenimiento.</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 Dispositivos de punción, dispositivos de lectura automática del nivel de glucosa, dispositivos de administración de insulina y demás aparatos para el autocontrol y tratamiento de la diabetes.</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 xml:space="preserve">– Dispositivos para el autocontrol de los cuerpos </w:t>
      </w:r>
      <w:proofErr w:type="spellStart"/>
      <w:r>
        <w:rPr>
          <w:rFonts w:ascii="Verdana" w:hAnsi="Verdana"/>
          <w:color w:val="333333"/>
          <w:sz w:val="18"/>
          <w:szCs w:val="18"/>
        </w:rPr>
        <w:t>cetónicos</w:t>
      </w:r>
      <w:proofErr w:type="spellEnd"/>
      <w:r>
        <w:rPr>
          <w:rFonts w:ascii="Verdana" w:hAnsi="Verdana"/>
          <w:color w:val="333333"/>
          <w:sz w:val="18"/>
          <w:szCs w:val="18"/>
        </w:rPr>
        <w:t xml:space="preserve"> y de la coagulación sanguínea y otros dispositivos de autocontrol y tratamiento de enfermedades </w:t>
      </w:r>
      <w:proofErr w:type="spellStart"/>
      <w:r>
        <w:rPr>
          <w:rFonts w:ascii="Verdana" w:hAnsi="Verdana"/>
          <w:color w:val="333333"/>
          <w:sz w:val="18"/>
          <w:szCs w:val="18"/>
        </w:rPr>
        <w:t>discapacitantes</w:t>
      </w:r>
      <w:proofErr w:type="spellEnd"/>
      <w:r>
        <w:rPr>
          <w:rFonts w:ascii="Verdana" w:hAnsi="Verdana"/>
          <w:color w:val="333333"/>
          <w:sz w:val="18"/>
          <w:szCs w:val="18"/>
        </w:rPr>
        <w:t xml:space="preserve"> como los sistemas de infusión de morfina y medicamentos oncológicos.</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 Bolsas de recogida de orina, absorbentes de incontinencia y otros sistemas para incontinencia urinaria y fecal, incluidos los sistemas de irrigación.</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 xml:space="preserve">– Prótesis, </w:t>
      </w:r>
      <w:proofErr w:type="spellStart"/>
      <w:r>
        <w:rPr>
          <w:rFonts w:ascii="Verdana" w:hAnsi="Verdana"/>
          <w:color w:val="333333"/>
          <w:sz w:val="18"/>
          <w:szCs w:val="18"/>
        </w:rPr>
        <w:t>ortesis</w:t>
      </w:r>
      <w:proofErr w:type="spellEnd"/>
      <w:r>
        <w:rPr>
          <w:rFonts w:ascii="Verdana" w:hAnsi="Verdana"/>
          <w:color w:val="333333"/>
          <w:sz w:val="18"/>
          <w:szCs w:val="18"/>
        </w:rPr>
        <w:t xml:space="preserve">, </w:t>
      </w:r>
      <w:proofErr w:type="spellStart"/>
      <w:r>
        <w:rPr>
          <w:rFonts w:ascii="Verdana" w:hAnsi="Verdana"/>
          <w:color w:val="333333"/>
          <w:sz w:val="18"/>
          <w:szCs w:val="18"/>
        </w:rPr>
        <w:t>ortoprótesis</w:t>
      </w:r>
      <w:proofErr w:type="spellEnd"/>
      <w:r>
        <w:rPr>
          <w:rFonts w:ascii="Verdana" w:hAnsi="Verdana"/>
          <w:color w:val="333333"/>
          <w:sz w:val="18"/>
          <w:szCs w:val="18"/>
        </w:rPr>
        <w:t xml:space="preserve"> e implantes quirúrgicos, en particular los previstos en el Real Decreto 1030/2006, de 15 de septiembre, por el que se establece la cartera de servicios comunes del Sistema Nacional de Salud y el procedimiento para su actualización, incluyendo sus componentes y accesorios.</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 xml:space="preserve">– Las cánulas de traqueotomía y </w:t>
      </w:r>
      <w:proofErr w:type="spellStart"/>
      <w:r>
        <w:rPr>
          <w:rFonts w:ascii="Verdana" w:hAnsi="Verdana"/>
          <w:color w:val="333333"/>
          <w:sz w:val="18"/>
          <w:szCs w:val="18"/>
        </w:rPr>
        <w:t>laringectomía</w:t>
      </w:r>
      <w:proofErr w:type="spellEnd"/>
      <w:r>
        <w:rPr>
          <w:rFonts w:ascii="Verdana" w:hAnsi="Verdana"/>
          <w:color w:val="333333"/>
          <w:sz w:val="18"/>
          <w:szCs w:val="18"/>
        </w:rPr>
        <w:t>.</w:t>
      </w:r>
    </w:p>
    <w:p w:rsidR="00D66C22" w:rsidRDefault="00D66C22" w:rsidP="00D66C22">
      <w:pPr>
        <w:pStyle w:val="parrafo"/>
        <w:shd w:val="clear" w:color="auto" w:fill="FFFFFF"/>
        <w:spacing w:before="180" w:beforeAutospacing="0" w:after="180" w:afterAutospacing="0"/>
        <w:ind w:firstLine="360"/>
        <w:jc w:val="both"/>
        <w:rPr>
          <w:rFonts w:ascii="Verdana" w:hAnsi="Verdana"/>
          <w:color w:val="333333"/>
          <w:sz w:val="18"/>
          <w:szCs w:val="18"/>
        </w:rPr>
      </w:pPr>
      <w:r>
        <w:rPr>
          <w:rFonts w:ascii="Verdana" w:hAnsi="Verdana"/>
          <w:color w:val="333333"/>
          <w:sz w:val="18"/>
          <w:szCs w:val="18"/>
        </w:rPr>
        <w:t xml:space="preserve">– Sillas terapéuticas y de ruedas, así como los cojines </w:t>
      </w:r>
      <w:proofErr w:type="spellStart"/>
      <w:r>
        <w:rPr>
          <w:rFonts w:ascii="Verdana" w:hAnsi="Verdana"/>
          <w:color w:val="333333"/>
          <w:sz w:val="18"/>
          <w:szCs w:val="18"/>
        </w:rPr>
        <w:t>antiescaras</w:t>
      </w:r>
      <w:proofErr w:type="spellEnd"/>
      <w:r>
        <w:rPr>
          <w:rFonts w:ascii="Verdana" w:hAnsi="Verdana"/>
          <w:color w:val="333333"/>
          <w:sz w:val="18"/>
          <w:szCs w:val="18"/>
        </w:rPr>
        <w:t xml:space="preserve"> y arneses para el uso de las mismas, muletas, andadores y grúas para movilizar personas con discapacidad</w:t>
      </w:r>
      <w:proofErr w:type="gramStart"/>
      <w:r>
        <w:rPr>
          <w:rFonts w:ascii="Verdana" w:hAnsi="Verdana"/>
          <w:color w:val="333333"/>
          <w:sz w:val="18"/>
          <w:szCs w:val="18"/>
        </w:rPr>
        <w:t>.</w:t>
      </w:r>
      <w:r w:rsidRPr="00D66C22">
        <w:rPr>
          <w:rFonts w:ascii="Verdana" w:hAnsi="Verdana"/>
          <w:b/>
          <w:color w:val="333333"/>
          <w:sz w:val="18"/>
          <w:szCs w:val="18"/>
        </w:rPr>
        <w:t>(</w:t>
      </w:r>
      <w:proofErr w:type="gramEnd"/>
      <w:r w:rsidRPr="00D66C22">
        <w:rPr>
          <w:rFonts w:ascii="Verdana" w:hAnsi="Verdana"/>
          <w:b/>
          <w:color w:val="333333"/>
          <w:sz w:val="18"/>
          <w:szCs w:val="18"/>
        </w:rPr>
        <w:t>…)</w:t>
      </w:r>
    </w:p>
    <w:sectPr w:rsidR="00D66C22" w:rsidSect="00BB4F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1BFD"/>
    <w:rsid w:val="003629BC"/>
    <w:rsid w:val="00721BFD"/>
    <w:rsid w:val="00832465"/>
    <w:rsid w:val="00BB4F1E"/>
    <w:rsid w:val="00D66C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1E"/>
  </w:style>
  <w:style w:type="paragraph" w:styleId="Ttulo2">
    <w:name w:val="heading 2"/>
    <w:basedOn w:val="Normal"/>
    <w:link w:val="Ttulo2Car"/>
    <w:uiPriority w:val="9"/>
    <w:qFormat/>
    <w:rsid w:val="00721BF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1BFD"/>
    <w:rPr>
      <w:rFonts w:ascii="Times New Roman" w:eastAsia="Times New Roman" w:hAnsi="Times New Roman" w:cs="Times New Roman"/>
      <w:b/>
      <w:bCs/>
      <w:sz w:val="36"/>
      <w:szCs w:val="36"/>
      <w:lang w:eastAsia="es-ES"/>
    </w:rPr>
  </w:style>
  <w:style w:type="paragraph" w:customStyle="1" w:styleId="documento-tit">
    <w:name w:val="documento-tit"/>
    <w:basedOn w:val="Normal"/>
    <w:rsid w:val="00721B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21BFD"/>
    <w:rPr>
      <w:color w:val="0000FF"/>
      <w:u w:val="single"/>
    </w:rPr>
  </w:style>
  <w:style w:type="paragraph" w:styleId="z-Principiodelformulario">
    <w:name w:val="HTML Top of Form"/>
    <w:basedOn w:val="Normal"/>
    <w:next w:val="Normal"/>
    <w:link w:val="z-PrincipiodelformularioCar"/>
    <w:hidden/>
    <w:uiPriority w:val="99"/>
    <w:semiHidden/>
    <w:unhideWhenUsed/>
    <w:rsid w:val="00721BF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21BFD"/>
    <w:rPr>
      <w:rFonts w:ascii="Arial" w:eastAsia="Times New Roman" w:hAnsi="Arial" w:cs="Arial"/>
      <w:vanish/>
      <w:sz w:val="16"/>
      <w:szCs w:val="16"/>
      <w:lang w:eastAsia="es-ES"/>
    </w:rPr>
  </w:style>
  <w:style w:type="character" w:customStyle="1" w:styleId="fuera">
    <w:name w:val="fuera"/>
    <w:basedOn w:val="Fuentedeprrafopredeter"/>
    <w:rsid w:val="00721BFD"/>
  </w:style>
  <w:style w:type="paragraph" w:styleId="z-Finaldelformulario">
    <w:name w:val="HTML Bottom of Form"/>
    <w:basedOn w:val="Normal"/>
    <w:next w:val="Normal"/>
    <w:link w:val="z-FinaldelformularioCar"/>
    <w:hidden/>
    <w:uiPriority w:val="99"/>
    <w:semiHidden/>
    <w:unhideWhenUsed/>
    <w:rsid w:val="00721BF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21BFD"/>
    <w:rPr>
      <w:rFonts w:ascii="Arial" w:eastAsia="Times New Roman" w:hAnsi="Arial" w:cs="Arial"/>
      <w:vanish/>
      <w:sz w:val="16"/>
      <w:szCs w:val="16"/>
      <w:lang w:eastAsia="es-ES"/>
    </w:rPr>
  </w:style>
  <w:style w:type="paragraph" w:customStyle="1" w:styleId="articulo">
    <w:name w:val="articulo"/>
    <w:basedOn w:val="Normal"/>
    <w:rsid w:val="00721B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21B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21B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
    <w:name w:val="anexo"/>
    <w:basedOn w:val="Normal"/>
    <w:rsid w:val="00D66C2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39648044">
      <w:bodyDiv w:val="1"/>
      <w:marLeft w:val="0"/>
      <w:marRight w:val="0"/>
      <w:marTop w:val="0"/>
      <w:marBottom w:val="0"/>
      <w:divBdr>
        <w:top w:val="none" w:sz="0" w:space="0" w:color="auto"/>
        <w:left w:val="none" w:sz="0" w:space="0" w:color="auto"/>
        <w:bottom w:val="none" w:sz="0" w:space="0" w:color="auto"/>
        <w:right w:val="none" w:sz="0" w:space="0" w:color="auto"/>
      </w:divBdr>
      <w:divsChild>
        <w:div w:id="1733305107">
          <w:marLeft w:val="0"/>
          <w:marRight w:val="0"/>
          <w:marTop w:val="0"/>
          <w:marBottom w:val="0"/>
          <w:divBdr>
            <w:top w:val="none" w:sz="0" w:space="0" w:color="auto"/>
            <w:left w:val="single" w:sz="4" w:space="0" w:color="AAAAAA"/>
            <w:bottom w:val="single" w:sz="4" w:space="12" w:color="AAAAAA"/>
            <w:right w:val="single" w:sz="4" w:space="0" w:color="AAAAAA"/>
          </w:divBdr>
        </w:div>
      </w:divsChild>
    </w:div>
    <w:div w:id="713039585">
      <w:bodyDiv w:val="1"/>
      <w:marLeft w:val="0"/>
      <w:marRight w:val="0"/>
      <w:marTop w:val="0"/>
      <w:marBottom w:val="0"/>
      <w:divBdr>
        <w:top w:val="none" w:sz="0" w:space="0" w:color="auto"/>
        <w:left w:val="none" w:sz="0" w:space="0" w:color="auto"/>
        <w:bottom w:val="none" w:sz="0" w:space="0" w:color="auto"/>
        <w:right w:val="none" w:sz="0" w:space="0" w:color="auto"/>
      </w:divBdr>
    </w:div>
    <w:div w:id="1364477848">
      <w:bodyDiv w:val="1"/>
      <w:marLeft w:val="0"/>
      <w:marRight w:val="0"/>
      <w:marTop w:val="0"/>
      <w:marBottom w:val="0"/>
      <w:divBdr>
        <w:top w:val="none" w:sz="0" w:space="0" w:color="auto"/>
        <w:left w:val="none" w:sz="0" w:space="0" w:color="auto"/>
        <w:bottom w:val="none" w:sz="0" w:space="0" w:color="auto"/>
        <w:right w:val="none" w:sz="0" w:space="0" w:color="auto"/>
      </w:divBdr>
    </w:div>
    <w:div w:id="1402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doc.php?id=BOE-A-1992-287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2977</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2017-10-09T14:52:00Z</dcterms:created>
  <dcterms:modified xsi:type="dcterms:W3CDTF">2017-10-09T15:34:00Z</dcterms:modified>
</cp:coreProperties>
</file>